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40/2023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Flavio Habitzreiter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R$ 99.695,00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R$ 99.695,00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 xml:space="preserve">A presente emenda a despesa visa a aquisição dos seguintes equipamentos, medicamentos, materiais e/ ou insumos necessários ao atendimento dos pacientes no Hospital de Caridade. 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sz w:val="22"/>
                <w:szCs w:val="22"/>
              </w:rPr>
            </w:pPr>
            <w:r>
              <w:rPr>
                <w:rFonts w:ascii="Arial" w:hAnsi="Arial"/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 xml:space="preserve">Peça Guia Canal; Pinça Flexível Jacaré; Ureterorrenoscópio Rígido 6/7.5 Fr – (R Wolf ou Scholly) – Semi novo;  Ureterorrenoscópio Flexível 6/7.5 Fr – (R Wolf ou Scholly) – Semi novo;  Litotriptor Balístico (seminovo).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Application>LibreOffice/7.4.2.3$Windows_X86_64 LibreOffice_project/382eef1f22670f7f4118c8c2dd222ec7ad009daf</Application>
  <AppVersion>15.0000</AppVersion>
  <Pages>2</Pages>
  <Words>238</Words>
  <Characters>1454</Characters>
  <CharactersWithSpaces>1657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2023-11-22T17:15:32Z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